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D" w:rsidRDefault="00024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83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4508"/>
      </w:tblGrid>
      <w:tr w:rsidR="00024F6D">
        <w:tc>
          <w:tcPr>
            <w:tcW w:w="6375" w:type="dxa"/>
          </w:tcPr>
          <w:p w:rsidR="00024F6D" w:rsidRDefault="009437E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Undergraduate Programme in </w:t>
            </w:r>
            <w:sdt>
              <w:sdtPr>
                <w:tag w:val="goog_rdk_0"/>
                <w:id w:val="355236518"/>
              </w:sdtPr>
              <w:sdtEndPr/>
              <w:sdtContent/>
            </w:sdt>
            <w:r w:rsidR="00D13AF0">
              <w:rPr>
                <w:rFonts w:ascii="Arial" w:eastAsia="Arial" w:hAnsi="Arial" w:cs="Arial"/>
                <w:b/>
              </w:rPr>
              <w:t>Chemistry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24F6D" w:rsidRDefault="009437EF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Telp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: +62274 519739</w:t>
            </w:r>
          </w:p>
          <w:p w:rsidR="00024F6D" w:rsidRDefault="009437E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Email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matematika@uin-suka.ac.id</w:t>
              </w:r>
            </w:hyperlink>
          </w:p>
          <w:p w:rsidR="00024F6D" w:rsidRDefault="009437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Website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http://matematika.uin-suka.ac.id/</w:t>
              </w:r>
            </w:hyperlink>
          </w:p>
        </w:tc>
        <w:tc>
          <w:tcPr>
            <w:tcW w:w="4508" w:type="dxa"/>
            <w:vAlign w:val="center"/>
          </w:tcPr>
          <w:p w:rsidR="00024F6D" w:rsidRDefault="009437EF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HANDBOOK</w:t>
            </w:r>
          </w:p>
        </w:tc>
      </w:tr>
    </w:tbl>
    <w:p w:rsidR="00024F6D" w:rsidRDefault="00024F6D">
      <w:pPr>
        <w:spacing w:after="0" w:line="240" w:lineRule="auto"/>
        <w:ind w:left="-993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7189"/>
      </w:tblGrid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Name</w:t>
            </w:r>
          </w:p>
        </w:tc>
        <w:tc>
          <w:tcPr>
            <w:tcW w:w="7189" w:type="dxa"/>
          </w:tcPr>
          <w:p w:rsidR="00024F6D" w:rsidRDefault="00D13AF0">
            <w:pPr>
              <w:spacing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Inorganic Structure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level, if applicable </w:t>
            </w:r>
          </w:p>
        </w:tc>
        <w:tc>
          <w:tcPr>
            <w:tcW w:w="7189" w:type="dxa"/>
          </w:tcPr>
          <w:p w:rsidR="00024F6D" w:rsidRDefault="00A733A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tag w:val="goog_rdk_1"/>
                <w:id w:val="-1831592720"/>
              </w:sdtPr>
              <w:sdtEndPr/>
              <w:sdtContent/>
            </w:sdt>
            <w:r w:rsidR="009437EF">
              <w:rPr>
                <w:sz w:val="20"/>
                <w:szCs w:val="20"/>
              </w:rPr>
              <w:t>Bachelor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Code, if applicable</w:t>
            </w:r>
          </w:p>
        </w:tc>
        <w:tc>
          <w:tcPr>
            <w:tcW w:w="7189" w:type="dxa"/>
          </w:tcPr>
          <w:p w:rsidR="00024F6D" w:rsidRDefault="00A733A7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tag w:val="goog_rdk_2"/>
                <w:id w:val="1719942254"/>
              </w:sdtPr>
              <w:sdtEndPr/>
              <w:sdtContent/>
            </w:sdt>
            <w:r w:rsidR="00D13AF0" w:rsidRPr="00D13AF0">
              <w:rPr>
                <w:sz w:val="20"/>
                <w:szCs w:val="20"/>
              </w:rPr>
              <w:t>KIM414006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Subtitle, if applicable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Courses, if applicable</w:t>
            </w:r>
          </w:p>
        </w:tc>
        <w:tc>
          <w:tcPr>
            <w:tcW w:w="7189" w:type="dxa"/>
          </w:tcPr>
          <w:p w:rsidR="00024F6D" w:rsidRDefault="00D13AF0" w:rsidP="00D13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Inorganic Structure</w:t>
            </w:r>
            <w:r w:rsidR="009437EF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Sruktur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Senyawa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Anorganik</w:t>
            </w:r>
            <w:proofErr w:type="spellEnd"/>
            <w:r w:rsidR="009437EF">
              <w:rPr>
                <w:sz w:val="20"/>
                <w:szCs w:val="20"/>
              </w:rPr>
              <w:t>)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Semester(s) in which the module is taught  </w:t>
            </w:r>
          </w:p>
        </w:tc>
        <w:tc>
          <w:tcPr>
            <w:tcW w:w="7189" w:type="dxa"/>
          </w:tcPr>
          <w:p w:rsidR="00024F6D" w:rsidRDefault="00D13AF0" w:rsidP="00D13A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9437EF">
              <w:rPr>
                <w:sz w:val="20"/>
                <w:szCs w:val="20"/>
                <w:vertAlign w:val="superscript"/>
              </w:rPr>
              <w:t xml:space="preserve"> </w:t>
            </w:r>
            <w:r w:rsidR="009437E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second</w:t>
            </w:r>
            <w:r w:rsidR="009437EF">
              <w:rPr>
                <w:sz w:val="20"/>
                <w:szCs w:val="20"/>
              </w:rPr>
              <w:t>)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 responsible for the module </w:t>
            </w:r>
          </w:p>
        </w:tc>
        <w:tc>
          <w:tcPr>
            <w:tcW w:w="7189" w:type="dxa"/>
          </w:tcPr>
          <w:p w:rsidR="00024F6D" w:rsidRDefault="006C5D8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Endaruji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Sedyadi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S.Si</w:t>
            </w:r>
            <w:proofErr w:type="spellEnd"/>
            <w:r>
              <w:rPr>
                <w:sz w:val="20"/>
                <w:szCs w:val="20"/>
              </w:rPr>
              <w:t>., M.Sc.</w:t>
            </w:r>
            <w:bookmarkStart w:id="0" w:name="_GoBack"/>
            <w:bookmarkEnd w:id="0"/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Lecturer(s)</w:t>
            </w:r>
          </w:p>
        </w:tc>
        <w:tc>
          <w:tcPr>
            <w:tcW w:w="7189" w:type="dxa"/>
          </w:tcPr>
          <w:p w:rsidR="00024F6D" w:rsidRDefault="002D4B2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Endaruji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Sedyadi</w:t>
            </w:r>
            <w:proofErr w:type="spellEnd"/>
            <w:r w:rsidR="009437EF">
              <w:rPr>
                <w:sz w:val="20"/>
                <w:szCs w:val="20"/>
              </w:rPr>
              <w:t xml:space="preserve">, </w:t>
            </w:r>
            <w:proofErr w:type="spellStart"/>
            <w:r w:rsidR="009437EF">
              <w:rPr>
                <w:sz w:val="20"/>
                <w:szCs w:val="20"/>
              </w:rPr>
              <w:t>S.Si</w:t>
            </w:r>
            <w:proofErr w:type="spellEnd"/>
            <w:r w:rsidR="009437EF">
              <w:rPr>
                <w:sz w:val="20"/>
                <w:szCs w:val="20"/>
              </w:rPr>
              <w:t>., M.Sc</w:t>
            </w:r>
            <w:r>
              <w:rPr>
                <w:sz w:val="20"/>
                <w:szCs w:val="20"/>
              </w:rPr>
              <w:t>.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Indonesia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 to curriculum </w:t>
            </w:r>
          </w:p>
        </w:tc>
        <w:tc>
          <w:tcPr>
            <w:tcW w:w="7189" w:type="dxa"/>
          </w:tcPr>
          <w:p w:rsidR="00024F6D" w:rsidRDefault="002D4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Mandatory</w:t>
            </w:r>
            <w:r w:rsidR="009437EF">
              <w:rPr>
                <w:color w:val="000000"/>
                <w:sz w:val="20"/>
                <w:szCs w:val="20"/>
              </w:rPr>
              <w:t xml:space="preserve"> course </w:t>
            </w:r>
            <w:r w:rsidR="009437EF">
              <w:rPr>
                <w:sz w:val="20"/>
                <w:szCs w:val="20"/>
              </w:rPr>
              <w:t xml:space="preserve">in the </w:t>
            </w:r>
            <w:r>
              <w:rPr>
                <w:sz w:val="20"/>
                <w:szCs w:val="20"/>
              </w:rPr>
              <w:t>First</w:t>
            </w:r>
            <w:r w:rsidR="009437EF">
              <w:rPr>
                <w:sz w:val="20"/>
                <w:szCs w:val="20"/>
              </w:rPr>
              <w:t xml:space="preserve"> year 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9437EF">
              <w:rPr>
                <w:sz w:val="20"/>
                <w:szCs w:val="20"/>
              </w:rPr>
              <w:t xml:space="preserve"> semester) Bachelor Degree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teaching, contact hours</w:t>
            </w:r>
          </w:p>
        </w:tc>
        <w:tc>
          <w:tcPr>
            <w:tcW w:w="7189" w:type="dxa"/>
          </w:tcPr>
          <w:p w:rsidR="00024F6D" w:rsidRDefault="009437EF" w:rsidP="00AD7A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4B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minutes lectures and </w:t>
            </w:r>
            <w:r w:rsidR="00AD7A0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 minutes structured activities per week.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Workload </w:t>
            </w:r>
          </w:p>
        </w:tc>
        <w:tc>
          <w:tcPr>
            <w:tcW w:w="7189" w:type="dxa"/>
          </w:tcPr>
          <w:p w:rsidR="00024F6D" w:rsidRDefault="009437EF" w:rsidP="00B72D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workload is </w:t>
            </w:r>
            <w:r w:rsidR="00A94620">
              <w:rPr>
                <w:sz w:val="20"/>
                <w:szCs w:val="20"/>
              </w:rPr>
              <w:t>9</w:t>
            </w:r>
            <w:r w:rsidR="00B72DBF">
              <w:rPr>
                <w:sz w:val="20"/>
                <w:szCs w:val="20"/>
              </w:rPr>
              <w:t>0.7</w:t>
            </w:r>
            <w:r>
              <w:rPr>
                <w:sz w:val="20"/>
                <w:szCs w:val="20"/>
              </w:rPr>
              <w:t xml:space="preserve"> hours per semester, which consists of 1</w:t>
            </w:r>
            <w:r w:rsidR="00AD7A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minutes lectures per week for 14 weeks, </w:t>
            </w:r>
            <w:r w:rsidR="00AD7A0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0 minutes structured activities per week, </w:t>
            </w:r>
            <w:r w:rsidR="00AD7A0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 minutes individual study per week, in total is 16 weeks per semester, including mid exam and final exam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 points </w:t>
            </w:r>
          </w:p>
        </w:tc>
        <w:tc>
          <w:tcPr>
            <w:tcW w:w="7189" w:type="dxa"/>
          </w:tcPr>
          <w:p w:rsidR="00024F6D" w:rsidRDefault="002D4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Requirements according to the examination </w:t>
            </w:r>
            <w:sdt>
              <w:sdtPr>
                <w:tag w:val="goog_rdk_3"/>
                <w:id w:val="-1646424070"/>
                <w:showingPlcHdr/>
              </w:sdtPr>
              <w:sdtEndPr/>
              <w:sdtContent>
                <w:r w:rsidR="00AD7A08"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 xml:space="preserve">regulations </w:t>
            </w:r>
          </w:p>
        </w:tc>
        <w:tc>
          <w:tcPr>
            <w:tcW w:w="7189" w:type="dxa"/>
          </w:tcPr>
          <w:p w:rsidR="00A94620" w:rsidRDefault="00AD7A08" w:rsidP="00AD7A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404BBC">
              <w:rPr>
                <w:sz w:val="20"/>
                <w:szCs w:val="20"/>
              </w:rPr>
              <w:t>not allowed to follow final exam</w:t>
            </w:r>
            <w:r w:rsidR="00A94620">
              <w:rPr>
                <w:sz w:val="20"/>
                <w:szCs w:val="20"/>
              </w:rPr>
              <w:t xml:space="preserve"> if failed to attend 75% lectures class</w:t>
            </w:r>
            <w:r w:rsidR="00404BBC">
              <w:rPr>
                <w:sz w:val="20"/>
                <w:szCs w:val="20"/>
              </w:rPr>
              <w:t xml:space="preserve"> minimum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prerequisites 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prerequisites stated on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Module objectives/intended learning outcomes 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completing this course, the students</w:t>
            </w:r>
            <w:r w:rsidR="000024DD">
              <w:rPr>
                <w:sz w:val="20"/>
                <w:szCs w:val="20"/>
              </w:rPr>
              <w:t xml:space="preserve"> are able to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a1"/>
              <w:tblW w:w="697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6"/>
              <w:gridCol w:w="6237"/>
            </w:tblGrid>
            <w:tr w:rsidR="00B72DBF">
              <w:tc>
                <w:tcPr>
                  <w:tcW w:w="736" w:type="dxa"/>
                </w:tcPr>
                <w:p w:rsidR="00B72DBF" w:rsidRDefault="00B72DBF">
                  <w:pPr>
                    <w:spacing w:line="276" w:lineRule="auto"/>
                    <w:ind w:right="-2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1.</w:t>
                  </w:r>
                </w:p>
              </w:tc>
              <w:tc>
                <w:tcPr>
                  <w:tcW w:w="6237" w:type="dxa"/>
                </w:tcPr>
                <w:p w:rsidR="00B72DBF" w:rsidRPr="00E76B66" w:rsidRDefault="00B72DBF" w:rsidP="006B4308">
                  <w:r w:rsidRPr="00E76B66">
                    <w:t>describe the development of atomic theory and the periodic system of elements</w:t>
                  </w:r>
                </w:p>
              </w:tc>
            </w:tr>
            <w:tr w:rsidR="00B72DBF">
              <w:tc>
                <w:tcPr>
                  <w:tcW w:w="736" w:type="dxa"/>
                </w:tcPr>
                <w:p w:rsidR="00B72DBF" w:rsidRDefault="00B72DBF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2.</w:t>
                  </w:r>
                </w:p>
              </w:tc>
              <w:tc>
                <w:tcPr>
                  <w:tcW w:w="6237" w:type="dxa"/>
                </w:tcPr>
                <w:p w:rsidR="00B72DBF" w:rsidRPr="00E76B66" w:rsidRDefault="00B72DBF" w:rsidP="006B4308">
                  <w:r w:rsidRPr="00E76B66">
                    <w:t>describe the ionic and covalent characters of an inorganic compound</w:t>
                  </w:r>
                </w:p>
              </w:tc>
            </w:tr>
            <w:tr w:rsidR="00B72DBF">
              <w:tc>
                <w:tcPr>
                  <w:tcW w:w="736" w:type="dxa"/>
                </w:tcPr>
                <w:p w:rsidR="00B72DBF" w:rsidRDefault="00B72DBF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3.</w:t>
                  </w:r>
                </w:p>
                <w:p w:rsidR="00B72DBF" w:rsidRDefault="00B72DBF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B72DBF" w:rsidRDefault="00B72DBF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 4.</w:t>
                  </w:r>
                </w:p>
              </w:tc>
              <w:tc>
                <w:tcPr>
                  <w:tcW w:w="6237" w:type="dxa"/>
                </w:tcPr>
                <w:p w:rsidR="00B72DBF" w:rsidRDefault="00B72DBF" w:rsidP="00B72DBF">
                  <w:r w:rsidRPr="00E76B66">
                    <w:t>explain the Lewis and V</w:t>
                  </w:r>
                  <w:r>
                    <w:t>SEPR</w:t>
                  </w:r>
                  <w:r w:rsidRPr="00E76B66">
                    <w:t xml:space="preserve"> theories in explaining the chemical bond</w:t>
                  </w:r>
                </w:p>
                <w:p w:rsidR="00B72DBF" w:rsidRPr="00E76B66" w:rsidRDefault="00B72DBF" w:rsidP="00B72DBF">
                  <w:r w:rsidRPr="00B72DBF">
                    <w:t>describe the structure and chemical bonds of the solid state</w:t>
                  </w:r>
                </w:p>
              </w:tc>
            </w:tr>
          </w:tbl>
          <w:p w:rsidR="00024F6D" w:rsidRDefault="00024F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</w:p>
        </w:tc>
        <w:tc>
          <w:tcPr>
            <w:tcW w:w="7189" w:type="dxa"/>
          </w:tcPr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1. Introduction to Inorganic Chemistry</w:t>
            </w:r>
          </w:p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2. Atomic Structure</w:t>
            </w:r>
          </w:p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3. Molecular Structure</w:t>
            </w:r>
          </w:p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4. Atom/ion/molecule interactions in inorganic compounds</w:t>
            </w:r>
          </w:p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5. Physical Properties of Inorganic Compounds</w:t>
            </w:r>
          </w:p>
          <w:p w:rsidR="00B72DBF" w:rsidRPr="00B72DBF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6. Periodic System Table of Elements</w:t>
            </w:r>
          </w:p>
          <w:p w:rsidR="00024F6D" w:rsidRDefault="00B72DBF" w:rsidP="00B72DB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72DBF">
              <w:rPr>
                <w:sz w:val="20"/>
                <w:szCs w:val="20"/>
              </w:rPr>
              <w:t>7. Description of elements, electronic structure, properties, compounds and benefits of elements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and examination requirements and forms of examination 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final mark will be weighted as follows:</w:t>
            </w:r>
          </w:p>
          <w:tbl>
            <w:tblPr>
              <w:tblStyle w:val="a2"/>
              <w:tblW w:w="69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4874"/>
              <w:gridCol w:w="1532"/>
            </w:tblGrid>
            <w:tr w:rsidR="00024F6D">
              <w:tc>
                <w:tcPr>
                  <w:tcW w:w="557" w:type="dxa"/>
                </w:tcPr>
                <w:p w:rsidR="00024F6D" w:rsidRDefault="009437EF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874" w:type="dxa"/>
                </w:tcPr>
                <w:p w:rsidR="00024F6D" w:rsidRDefault="009437EF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Assessment methods (components, activities) </w:t>
                  </w:r>
                </w:p>
              </w:tc>
              <w:tc>
                <w:tcPr>
                  <w:tcW w:w="1532" w:type="dxa"/>
                </w:tcPr>
                <w:p w:rsidR="00024F6D" w:rsidRDefault="009437E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Weight (percentage)</w:t>
                  </w:r>
                </w:p>
              </w:tc>
            </w:tr>
            <w:tr w:rsidR="00024F6D">
              <w:tc>
                <w:tcPr>
                  <w:tcW w:w="557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874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Final Examination</w:t>
                  </w:r>
                </w:p>
              </w:tc>
              <w:tc>
                <w:tcPr>
                  <w:tcW w:w="1532" w:type="dxa"/>
                </w:tcPr>
                <w:p w:rsidR="00024F6D" w:rsidRDefault="00B72DBF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437EF">
                    <w:rPr>
                      <w:sz w:val="20"/>
                      <w:szCs w:val="20"/>
                    </w:rPr>
                    <w:t>0%</w:t>
                  </w:r>
                </w:p>
              </w:tc>
            </w:tr>
            <w:tr w:rsidR="00024F6D">
              <w:tc>
                <w:tcPr>
                  <w:tcW w:w="557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74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Mid-Term Examination</w:t>
                  </w:r>
                </w:p>
              </w:tc>
              <w:tc>
                <w:tcPr>
                  <w:tcW w:w="1532" w:type="dxa"/>
                </w:tcPr>
                <w:p w:rsidR="00024F6D" w:rsidRDefault="00B72DBF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437EF">
                    <w:rPr>
                      <w:sz w:val="20"/>
                      <w:szCs w:val="20"/>
                    </w:rPr>
                    <w:t>0%</w:t>
                  </w:r>
                </w:p>
              </w:tc>
            </w:tr>
            <w:tr w:rsidR="00024F6D">
              <w:tc>
                <w:tcPr>
                  <w:tcW w:w="557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74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Class Activities : Quiz, Homework, etc.</w:t>
                  </w:r>
                </w:p>
              </w:tc>
              <w:tc>
                <w:tcPr>
                  <w:tcW w:w="1532" w:type="dxa"/>
                </w:tcPr>
                <w:p w:rsidR="00024F6D" w:rsidRDefault="00B72DBF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437EF">
                    <w:rPr>
                      <w:sz w:val="20"/>
                      <w:szCs w:val="20"/>
                    </w:rPr>
                    <w:t>0%</w:t>
                  </w:r>
                </w:p>
              </w:tc>
            </w:tr>
            <w:tr w:rsidR="00B72DBF">
              <w:tc>
                <w:tcPr>
                  <w:tcW w:w="557" w:type="dxa"/>
                </w:tcPr>
                <w:p w:rsidR="00B72DBF" w:rsidRDefault="00B72DB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74" w:type="dxa"/>
                </w:tcPr>
                <w:p w:rsidR="00B72DBF" w:rsidRDefault="00B72DB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Assignment</w:t>
                  </w:r>
                </w:p>
              </w:tc>
              <w:tc>
                <w:tcPr>
                  <w:tcW w:w="1532" w:type="dxa"/>
                </w:tcPr>
                <w:p w:rsidR="00B72DBF" w:rsidRDefault="00B72DBF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40%</w:t>
                  </w:r>
                </w:p>
              </w:tc>
            </w:tr>
          </w:tbl>
          <w:p w:rsidR="00024F6D" w:rsidRDefault="00024F6D">
            <w:pPr>
              <w:spacing w:line="276" w:lineRule="auto"/>
              <w:rPr>
                <w:sz w:val="20"/>
                <w:szCs w:val="20"/>
              </w:rPr>
            </w:pPr>
          </w:p>
          <w:p w:rsidR="00024F6D" w:rsidRPr="00B72DBF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final assessment is expressed in the form of a letter value converted from a number value with the following categories:</w:t>
            </w:r>
          </w:p>
          <w:tbl>
            <w:tblPr>
              <w:tblStyle w:val="a3"/>
              <w:tblW w:w="5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3"/>
              <w:gridCol w:w="1061"/>
              <w:gridCol w:w="933"/>
              <w:gridCol w:w="652"/>
              <w:gridCol w:w="1134"/>
              <w:gridCol w:w="907"/>
            </w:tblGrid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Value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Letter Value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b/>
                      <w:sz w:val="20"/>
                      <w:szCs w:val="20"/>
                    </w:rPr>
                    <w:t>Number Value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b/>
                      <w:sz w:val="20"/>
                      <w:szCs w:val="20"/>
                    </w:rPr>
                    <w:t>Letter Value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≥ 95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65-69.99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B/C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90-94.99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60-64.99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C+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85-89.99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A/B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55-59.99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80-84.99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50-54.99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C-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75-79.99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55-34.99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024F6D">
              <w:tc>
                <w:tcPr>
                  <w:tcW w:w="553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1" w:type="dxa"/>
                </w:tcPr>
                <w:p w:rsidR="00024F6D" w:rsidRDefault="009437E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70-74.99</w:t>
                  </w:r>
                </w:p>
              </w:tc>
              <w:tc>
                <w:tcPr>
                  <w:tcW w:w="933" w:type="dxa"/>
                </w:tcPr>
                <w:p w:rsidR="00024F6D" w:rsidRDefault="009437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652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&lt;35</w:t>
                  </w:r>
                </w:p>
              </w:tc>
              <w:tc>
                <w:tcPr>
                  <w:tcW w:w="907" w:type="dxa"/>
                </w:tcPr>
                <w:p w:rsidR="00024F6D" w:rsidRDefault="009437EF">
                  <w:r>
                    <w:rPr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024F6D" w:rsidRDefault="00024F6D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Media employed</w:t>
            </w:r>
          </w:p>
        </w:tc>
        <w:tc>
          <w:tcPr>
            <w:tcW w:w="7189" w:type="dxa"/>
          </w:tcPr>
          <w:p w:rsidR="00024F6D" w:rsidRDefault="00943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White-board, </w:t>
            </w:r>
            <w:proofErr w:type="spellStart"/>
            <w:r>
              <w:rPr>
                <w:sz w:val="20"/>
                <w:szCs w:val="20"/>
              </w:rPr>
              <w:t>Lcd</w:t>
            </w:r>
            <w:proofErr w:type="spellEnd"/>
            <w:r>
              <w:rPr>
                <w:sz w:val="20"/>
                <w:szCs w:val="20"/>
              </w:rPr>
              <w:t xml:space="preserve"> Projector, e-learning (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https://daring.uin-suka.ac.id/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024F6D">
        <w:tc>
          <w:tcPr>
            <w:tcW w:w="3443" w:type="dxa"/>
          </w:tcPr>
          <w:p w:rsidR="00024F6D" w:rsidRDefault="009437E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Reading list</w:t>
            </w:r>
          </w:p>
        </w:tc>
        <w:tc>
          <w:tcPr>
            <w:tcW w:w="7189" w:type="dxa"/>
          </w:tcPr>
          <w:p w:rsidR="00024F6D" w:rsidRDefault="00B72DB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Mandatory: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1.</w:t>
            </w:r>
            <w:r w:rsidRPr="00B72DBF">
              <w:rPr>
                <w:color w:val="000000"/>
                <w:sz w:val="20"/>
                <w:szCs w:val="20"/>
              </w:rPr>
              <w:tab/>
              <w:t xml:space="preserve">Cotton, F.A. and Wilkinson, G., Kimia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Anorganik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Dasar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terjemahan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), UI-Press, Jakarta. 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2.</w:t>
            </w:r>
            <w:r w:rsidRPr="00B72DBF">
              <w:rPr>
                <w:color w:val="000000"/>
                <w:sz w:val="20"/>
                <w:szCs w:val="20"/>
              </w:rPr>
              <w:tab/>
              <w:t xml:space="preserve">Greenwood, N.N.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Earnshaw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A.,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Chemsitry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of Elements, Second Edition, Butterworth-Heinemann.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3.</w:t>
            </w:r>
            <w:r w:rsidRPr="00B72DBF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Huheey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>, J.E. et al., Inorganic Chemistry: Principles, Structure and Reactivity, Harper Collins College Publisher, NY.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4.</w:t>
            </w:r>
            <w:r w:rsidRPr="00B72DBF">
              <w:rPr>
                <w:color w:val="000000"/>
                <w:sz w:val="20"/>
                <w:szCs w:val="20"/>
              </w:rPr>
              <w:tab/>
              <w:t>House, J.E., 2008, inorganic Chemistry, Elsevier-AP, London.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5.</w:t>
            </w:r>
            <w:r w:rsidRPr="00B72DBF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Housecroft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C. 2005, Inorganic Chemistry, Second Edition, Pearson Education Limited, London. </w:t>
            </w:r>
          </w:p>
          <w:p w:rsidR="00B72DBF" w:rsidRP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6.</w:t>
            </w:r>
            <w:r w:rsidRPr="00B72DBF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Miessler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G.L., 2004, Inorganic Chemistry, Third Edition,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pearson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education International.</w:t>
            </w:r>
          </w:p>
          <w:p w:rsidR="00B72DBF" w:rsidRDefault="00B72DBF" w:rsidP="00F3338A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7.</w:t>
            </w:r>
            <w:r w:rsidRPr="00B72DBF">
              <w:rPr>
                <w:color w:val="000000"/>
                <w:sz w:val="20"/>
                <w:szCs w:val="20"/>
              </w:rPr>
              <w:tab/>
              <w:t>Muller, U. 2006, Inorganic Structural Chemistry, Second Edition, John Wiley &amp; Sons, Ltd., England</w:t>
            </w:r>
          </w:p>
          <w:p w:rsidR="00B72DBF" w:rsidRDefault="00ED45F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Optional</w:t>
            </w:r>
            <w:r w:rsidR="00B72DBF">
              <w:rPr>
                <w:color w:val="000000"/>
                <w:sz w:val="20"/>
                <w:szCs w:val="20"/>
              </w:rPr>
              <w:t>:</w:t>
            </w:r>
          </w:p>
          <w:p w:rsidR="00B72DBF" w:rsidRPr="00B72DBF" w:rsidRDefault="00B72DBF" w:rsidP="00B72DBF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8.</w:t>
            </w:r>
            <w:r w:rsidRPr="00B72DBF">
              <w:rPr>
                <w:color w:val="000000"/>
                <w:sz w:val="20"/>
                <w:szCs w:val="20"/>
              </w:rPr>
              <w:tab/>
              <w:t xml:space="preserve">Saito, T., Kimia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Anorganik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Iwanami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Shoten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Publisher, Tokyo. (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Penerjemah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Ismunandar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>)</w:t>
            </w:r>
          </w:p>
          <w:p w:rsidR="00B72DBF" w:rsidRPr="00B72DBF" w:rsidRDefault="00B72DBF" w:rsidP="00B72DBF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9.</w:t>
            </w:r>
            <w:r w:rsidRPr="00B72DBF">
              <w:rPr>
                <w:color w:val="000000"/>
                <w:sz w:val="20"/>
                <w:szCs w:val="20"/>
              </w:rPr>
              <w:tab/>
              <w:t xml:space="preserve">Sanderson, R. T., Fundamental Principles of Chemical Reactions, Laboratory for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InOrganic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Chemistry,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Gadjah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Mada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University</w:t>
            </w:r>
          </w:p>
          <w:p w:rsidR="00B72DBF" w:rsidRPr="00B72DBF" w:rsidRDefault="00B72DBF" w:rsidP="00B72DBF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10.</w:t>
            </w:r>
            <w:r w:rsidRPr="00B72DBF">
              <w:rPr>
                <w:color w:val="000000"/>
                <w:sz w:val="20"/>
                <w:szCs w:val="20"/>
              </w:rPr>
              <w:tab/>
              <w:t>Shriver, D. F., Atkins, P. W, 2010, Inorganic Chemistry Fifth Edition, Oxford University</w:t>
            </w:r>
          </w:p>
          <w:p w:rsidR="00B72DBF" w:rsidRPr="00B72DBF" w:rsidRDefault="00B72DBF" w:rsidP="00B72DBF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11.</w:t>
            </w:r>
            <w:r w:rsidRPr="00B72DBF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Sugiyarto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K. H., Kimia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Anorganik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Dasar-dasar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Kimia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Anorganik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Nonlogam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Universitas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Negeri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Yogyakarta</w:t>
            </w:r>
          </w:p>
          <w:p w:rsidR="00B72DBF" w:rsidRDefault="00B72DBF" w:rsidP="00B72DBF">
            <w:pPr>
              <w:spacing w:line="276" w:lineRule="auto"/>
              <w:ind w:left="390" w:hanging="390"/>
              <w:rPr>
                <w:color w:val="000000"/>
                <w:sz w:val="20"/>
                <w:szCs w:val="20"/>
              </w:rPr>
            </w:pPr>
            <w:r w:rsidRPr="00B72DBF">
              <w:rPr>
                <w:color w:val="000000"/>
                <w:sz w:val="20"/>
                <w:szCs w:val="20"/>
              </w:rPr>
              <w:t>12.</w:t>
            </w:r>
            <w:r w:rsidRPr="00B72DBF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Sugiyarto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, K. H., Kimia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Anorganik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II,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Universitas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DBF">
              <w:rPr>
                <w:color w:val="000000"/>
                <w:sz w:val="20"/>
                <w:szCs w:val="20"/>
              </w:rPr>
              <w:t>Negeri</w:t>
            </w:r>
            <w:proofErr w:type="spellEnd"/>
            <w:r w:rsidRPr="00B72DBF">
              <w:rPr>
                <w:color w:val="000000"/>
                <w:sz w:val="20"/>
                <w:szCs w:val="20"/>
              </w:rPr>
              <w:t xml:space="preserve"> Yogyakarta</w:t>
            </w:r>
          </w:p>
        </w:tc>
      </w:tr>
    </w:tbl>
    <w:p w:rsidR="00024F6D" w:rsidRDefault="00024F6D">
      <w:pPr>
        <w:spacing w:after="0" w:line="240" w:lineRule="auto"/>
        <w:ind w:left="-993"/>
        <w:rPr>
          <w:sz w:val="18"/>
          <w:szCs w:val="18"/>
        </w:rPr>
      </w:pPr>
    </w:p>
    <w:p w:rsidR="00024F6D" w:rsidRDefault="00024F6D">
      <w:pPr>
        <w:spacing w:after="0" w:line="240" w:lineRule="auto"/>
        <w:ind w:left="-993"/>
        <w:rPr>
          <w:sz w:val="18"/>
          <w:szCs w:val="18"/>
        </w:rPr>
      </w:pPr>
    </w:p>
    <w:p w:rsidR="00024F6D" w:rsidRDefault="00024F6D">
      <w:pPr>
        <w:spacing w:after="0" w:line="240" w:lineRule="auto"/>
        <w:ind w:left="-993"/>
        <w:rPr>
          <w:sz w:val="18"/>
          <w:szCs w:val="18"/>
        </w:rPr>
      </w:pPr>
    </w:p>
    <w:p w:rsidR="00024F6D" w:rsidRDefault="00024F6D">
      <w:pPr>
        <w:spacing w:after="0" w:line="240" w:lineRule="auto"/>
        <w:ind w:left="-993"/>
        <w:rPr>
          <w:sz w:val="18"/>
          <w:szCs w:val="18"/>
        </w:rPr>
      </w:pPr>
    </w:p>
    <w:p w:rsidR="00024F6D" w:rsidRDefault="00024F6D" w:rsidP="00F3338A">
      <w:pPr>
        <w:spacing w:after="0" w:line="240" w:lineRule="auto"/>
        <w:rPr>
          <w:sz w:val="18"/>
          <w:szCs w:val="18"/>
        </w:rPr>
      </w:pPr>
    </w:p>
    <w:p w:rsidR="00F3338A" w:rsidRDefault="00F3338A" w:rsidP="00F3338A">
      <w:pPr>
        <w:spacing w:after="0" w:line="240" w:lineRule="auto"/>
        <w:rPr>
          <w:b/>
          <w:sz w:val="20"/>
          <w:szCs w:val="20"/>
        </w:rPr>
      </w:pPr>
    </w:p>
    <w:p w:rsidR="00024F6D" w:rsidRDefault="009437EF">
      <w:pPr>
        <w:spacing w:after="0" w:line="240" w:lineRule="auto"/>
        <w:ind w:left="-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PLO and CO Mapping</w:t>
      </w:r>
    </w:p>
    <w:p w:rsidR="00024F6D" w:rsidRDefault="00024F6D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tbl>
      <w:tblPr>
        <w:tblStyle w:val="a4"/>
        <w:tblW w:w="97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"/>
        <w:gridCol w:w="996"/>
        <w:gridCol w:w="996"/>
        <w:gridCol w:w="996"/>
        <w:gridCol w:w="996"/>
        <w:gridCol w:w="996"/>
        <w:gridCol w:w="996"/>
        <w:gridCol w:w="887"/>
        <w:gridCol w:w="993"/>
        <w:gridCol w:w="992"/>
      </w:tblGrid>
      <w:tr w:rsidR="00D13D99" w:rsidTr="00D13D99">
        <w:tc>
          <w:tcPr>
            <w:tcW w:w="929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1</w:t>
            </w: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2</w:t>
            </w: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3</w:t>
            </w: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4</w:t>
            </w: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5</w:t>
            </w:r>
          </w:p>
        </w:tc>
        <w:tc>
          <w:tcPr>
            <w:tcW w:w="996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6</w:t>
            </w:r>
          </w:p>
        </w:tc>
        <w:tc>
          <w:tcPr>
            <w:tcW w:w="887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7</w:t>
            </w:r>
          </w:p>
        </w:tc>
        <w:tc>
          <w:tcPr>
            <w:tcW w:w="993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8</w:t>
            </w:r>
          </w:p>
        </w:tc>
        <w:tc>
          <w:tcPr>
            <w:tcW w:w="992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PLO 9</w:t>
            </w:r>
          </w:p>
        </w:tc>
      </w:tr>
      <w:tr w:rsidR="00D13D99" w:rsidTr="00D13D99">
        <w:tc>
          <w:tcPr>
            <w:tcW w:w="929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1</w:t>
            </w:r>
          </w:p>
        </w:tc>
        <w:tc>
          <w:tcPr>
            <w:tcW w:w="996" w:type="dxa"/>
          </w:tcPr>
          <w:p w:rsidR="00D13D99" w:rsidRPr="00570D1E" w:rsidRDefault="00D13D99" w:rsidP="003815C1"/>
        </w:tc>
        <w:tc>
          <w:tcPr>
            <w:tcW w:w="996" w:type="dxa"/>
          </w:tcPr>
          <w:p w:rsidR="00D13D99" w:rsidRPr="00570D1E" w:rsidRDefault="00D13D99" w:rsidP="003815C1"/>
        </w:tc>
        <w:tc>
          <w:tcPr>
            <w:tcW w:w="996" w:type="dxa"/>
          </w:tcPr>
          <w:p w:rsidR="00D13D99" w:rsidRPr="00570D1E" w:rsidRDefault="00D13D99" w:rsidP="003815C1">
            <w:r w:rsidRPr="00570D1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570D1E" w:rsidRDefault="00D13D99" w:rsidP="003815C1">
            <w:r w:rsidRPr="00570D1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570D1E" w:rsidRDefault="00D13D99" w:rsidP="003815C1"/>
        </w:tc>
        <w:tc>
          <w:tcPr>
            <w:tcW w:w="996" w:type="dxa"/>
          </w:tcPr>
          <w:p w:rsidR="00D13D99" w:rsidRPr="00570D1E" w:rsidRDefault="00D13D99" w:rsidP="003815C1"/>
        </w:tc>
        <w:tc>
          <w:tcPr>
            <w:tcW w:w="887" w:type="dxa"/>
          </w:tcPr>
          <w:p w:rsidR="00D13D99" w:rsidRPr="00570D1E" w:rsidRDefault="00D13D99" w:rsidP="003815C1"/>
        </w:tc>
        <w:tc>
          <w:tcPr>
            <w:tcW w:w="993" w:type="dxa"/>
          </w:tcPr>
          <w:p w:rsidR="00D13D99" w:rsidRPr="00570D1E" w:rsidRDefault="00D13D99" w:rsidP="003815C1"/>
        </w:tc>
        <w:tc>
          <w:tcPr>
            <w:tcW w:w="992" w:type="dxa"/>
          </w:tcPr>
          <w:p w:rsidR="00D13D99" w:rsidRDefault="00D13D99" w:rsidP="003815C1"/>
        </w:tc>
      </w:tr>
      <w:tr w:rsidR="00D13D99" w:rsidTr="00D13D99">
        <w:tc>
          <w:tcPr>
            <w:tcW w:w="929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2</w:t>
            </w:r>
          </w:p>
        </w:tc>
        <w:tc>
          <w:tcPr>
            <w:tcW w:w="996" w:type="dxa"/>
          </w:tcPr>
          <w:p w:rsidR="00D13D99" w:rsidRPr="00793E62" w:rsidRDefault="00D13D99" w:rsidP="006256F4"/>
        </w:tc>
        <w:tc>
          <w:tcPr>
            <w:tcW w:w="996" w:type="dxa"/>
          </w:tcPr>
          <w:p w:rsidR="00D13D99" w:rsidRPr="00793E62" w:rsidRDefault="00D13D99" w:rsidP="006256F4"/>
        </w:tc>
        <w:tc>
          <w:tcPr>
            <w:tcW w:w="996" w:type="dxa"/>
          </w:tcPr>
          <w:p w:rsidR="00D13D99" w:rsidRPr="00793E62" w:rsidRDefault="00D13D99" w:rsidP="006256F4">
            <w:r w:rsidRPr="00793E62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793E62" w:rsidRDefault="00D13D99" w:rsidP="006256F4"/>
        </w:tc>
        <w:tc>
          <w:tcPr>
            <w:tcW w:w="996" w:type="dxa"/>
          </w:tcPr>
          <w:p w:rsidR="00D13D99" w:rsidRPr="00793E62" w:rsidRDefault="00D13D99" w:rsidP="006256F4"/>
        </w:tc>
        <w:tc>
          <w:tcPr>
            <w:tcW w:w="996" w:type="dxa"/>
          </w:tcPr>
          <w:p w:rsidR="00D13D99" w:rsidRPr="00793E62" w:rsidRDefault="00D13D99" w:rsidP="006256F4"/>
        </w:tc>
        <w:tc>
          <w:tcPr>
            <w:tcW w:w="887" w:type="dxa"/>
          </w:tcPr>
          <w:p w:rsidR="00D13D99" w:rsidRPr="00793E62" w:rsidRDefault="00D13D99" w:rsidP="006256F4"/>
        </w:tc>
        <w:tc>
          <w:tcPr>
            <w:tcW w:w="993" w:type="dxa"/>
          </w:tcPr>
          <w:p w:rsidR="00D13D99" w:rsidRPr="00793E62" w:rsidRDefault="00D13D99" w:rsidP="006256F4"/>
        </w:tc>
        <w:tc>
          <w:tcPr>
            <w:tcW w:w="992" w:type="dxa"/>
          </w:tcPr>
          <w:p w:rsidR="00D13D99" w:rsidRDefault="00D13D99" w:rsidP="006256F4"/>
        </w:tc>
      </w:tr>
      <w:tr w:rsidR="00D13D99" w:rsidTr="00D13D99">
        <w:tc>
          <w:tcPr>
            <w:tcW w:w="929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3</w:t>
            </w:r>
          </w:p>
        </w:tc>
        <w:tc>
          <w:tcPr>
            <w:tcW w:w="996" w:type="dxa"/>
          </w:tcPr>
          <w:p w:rsidR="00D13D99" w:rsidRPr="00A1487C" w:rsidRDefault="00D13D99" w:rsidP="00DE59B7"/>
        </w:tc>
        <w:tc>
          <w:tcPr>
            <w:tcW w:w="996" w:type="dxa"/>
          </w:tcPr>
          <w:p w:rsidR="00D13D99" w:rsidRPr="00A1487C" w:rsidRDefault="00D13D99" w:rsidP="00DE59B7"/>
        </w:tc>
        <w:tc>
          <w:tcPr>
            <w:tcW w:w="996" w:type="dxa"/>
          </w:tcPr>
          <w:p w:rsidR="00D13D99" w:rsidRPr="00A1487C" w:rsidRDefault="00D13D99" w:rsidP="00DE59B7"/>
        </w:tc>
        <w:tc>
          <w:tcPr>
            <w:tcW w:w="996" w:type="dxa"/>
          </w:tcPr>
          <w:p w:rsidR="00D13D99" w:rsidRPr="00A1487C" w:rsidRDefault="00D13D99" w:rsidP="00DE59B7">
            <w:r w:rsidRPr="00A1487C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A1487C" w:rsidRDefault="00D13D99" w:rsidP="00DE59B7"/>
        </w:tc>
        <w:tc>
          <w:tcPr>
            <w:tcW w:w="996" w:type="dxa"/>
          </w:tcPr>
          <w:p w:rsidR="00D13D99" w:rsidRPr="00A1487C" w:rsidRDefault="00D13D99" w:rsidP="00DE59B7"/>
        </w:tc>
        <w:tc>
          <w:tcPr>
            <w:tcW w:w="887" w:type="dxa"/>
          </w:tcPr>
          <w:p w:rsidR="00D13D99" w:rsidRPr="00A1487C" w:rsidRDefault="00D13D99" w:rsidP="00DE59B7"/>
        </w:tc>
        <w:tc>
          <w:tcPr>
            <w:tcW w:w="993" w:type="dxa"/>
          </w:tcPr>
          <w:p w:rsidR="00D13D99" w:rsidRPr="00A1487C" w:rsidRDefault="00D13D99" w:rsidP="00DE59B7"/>
        </w:tc>
        <w:tc>
          <w:tcPr>
            <w:tcW w:w="992" w:type="dxa"/>
          </w:tcPr>
          <w:p w:rsidR="00D13D99" w:rsidRDefault="00D13D99" w:rsidP="00DE59B7"/>
        </w:tc>
      </w:tr>
      <w:tr w:rsidR="00D13D99" w:rsidTr="00D13D99">
        <w:tc>
          <w:tcPr>
            <w:tcW w:w="929" w:type="dxa"/>
          </w:tcPr>
          <w:p w:rsidR="00D13D99" w:rsidRDefault="00D13D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4</w:t>
            </w:r>
          </w:p>
        </w:tc>
        <w:tc>
          <w:tcPr>
            <w:tcW w:w="996" w:type="dxa"/>
          </w:tcPr>
          <w:p w:rsidR="00D13D99" w:rsidRPr="00C339F2" w:rsidRDefault="00D13D99" w:rsidP="00834EB8"/>
        </w:tc>
        <w:tc>
          <w:tcPr>
            <w:tcW w:w="996" w:type="dxa"/>
          </w:tcPr>
          <w:p w:rsidR="00D13D99" w:rsidRPr="00C339F2" w:rsidRDefault="00D13D99" w:rsidP="00834EB8"/>
        </w:tc>
        <w:tc>
          <w:tcPr>
            <w:tcW w:w="996" w:type="dxa"/>
          </w:tcPr>
          <w:p w:rsidR="00D13D99" w:rsidRPr="00C339F2" w:rsidRDefault="00D13D99" w:rsidP="00834EB8">
            <w:r w:rsidRPr="00C339F2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C339F2" w:rsidRDefault="00D13D99" w:rsidP="00834EB8">
            <w:r w:rsidRPr="00C339F2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996" w:type="dxa"/>
          </w:tcPr>
          <w:p w:rsidR="00D13D99" w:rsidRPr="00C339F2" w:rsidRDefault="00D13D99" w:rsidP="00834EB8"/>
        </w:tc>
        <w:tc>
          <w:tcPr>
            <w:tcW w:w="996" w:type="dxa"/>
          </w:tcPr>
          <w:p w:rsidR="00D13D99" w:rsidRPr="00C339F2" w:rsidRDefault="00D13D99" w:rsidP="00834EB8"/>
        </w:tc>
        <w:tc>
          <w:tcPr>
            <w:tcW w:w="887" w:type="dxa"/>
          </w:tcPr>
          <w:p w:rsidR="00D13D99" w:rsidRPr="00C339F2" w:rsidRDefault="00D13D99" w:rsidP="00834EB8"/>
        </w:tc>
        <w:tc>
          <w:tcPr>
            <w:tcW w:w="993" w:type="dxa"/>
          </w:tcPr>
          <w:p w:rsidR="00D13D99" w:rsidRPr="00C339F2" w:rsidRDefault="00D13D99" w:rsidP="00834EB8"/>
        </w:tc>
        <w:tc>
          <w:tcPr>
            <w:tcW w:w="992" w:type="dxa"/>
          </w:tcPr>
          <w:p w:rsidR="00D13D99" w:rsidRDefault="00D13D99" w:rsidP="00834EB8"/>
        </w:tc>
      </w:tr>
    </w:tbl>
    <w:p w:rsidR="00024F6D" w:rsidRDefault="00024F6D">
      <w:pPr>
        <w:spacing w:after="0" w:line="240" w:lineRule="auto"/>
        <w:ind w:left="-993"/>
        <w:jc w:val="center"/>
        <w:rPr>
          <w:b/>
          <w:sz w:val="20"/>
          <w:szCs w:val="20"/>
        </w:rPr>
      </w:pPr>
    </w:p>
    <w:p w:rsidR="00024F6D" w:rsidRDefault="00024F6D">
      <w:pPr>
        <w:spacing w:after="0" w:line="240" w:lineRule="auto"/>
        <w:ind w:left="-993"/>
        <w:jc w:val="center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sectPr w:rsidR="00024F6D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C4" w15:done="0"/>
  <w15:commentEx w15:paraId="000000C5" w15:done="0"/>
  <w15:commentEx w15:paraId="000000C6" w15:done="0"/>
  <w15:commentEx w15:paraId="000000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A7" w:rsidRDefault="00A733A7">
      <w:pPr>
        <w:spacing w:after="0" w:line="240" w:lineRule="auto"/>
      </w:pPr>
      <w:r>
        <w:separator/>
      </w:r>
    </w:p>
  </w:endnote>
  <w:endnote w:type="continuationSeparator" w:id="0">
    <w:p w:rsidR="00A733A7" w:rsidRDefault="00A7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A7" w:rsidRDefault="00A733A7">
      <w:pPr>
        <w:spacing w:after="0" w:line="240" w:lineRule="auto"/>
      </w:pPr>
      <w:r>
        <w:separator/>
      </w:r>
    </w:p>
  </w:footnote>
  <w:footnote w:type="continuationSeparator" w:id="0">
    <w:p w:rsidR="00A733A7" w:rsidRDefault="00A7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6D" w:rsidRDefault="00024F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Schoolbook" w:eastAsia="Century Schoolbook" w:hAnsi="Century Schoolbook" w:cs="Century Schoolbook"/>
        <w:b/>
        <w:sz w:val="20"/>
        <w:szCs w:val="20"/>
      </w:rPr>
    </w:pPr>
  </w:p>
  <w:tbl>
    <w:tblPr>
      <w:tblStyle w:val="a5"/>
      <w:tblW w:w="10620" w:type="dxa"/>
      <w:tblInd w:w="-8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90"/>
      <w:gridCol w:w="7830"/>
    </w:tblGrid>
    <w:tr w:rsidR="00024F6D">
      <w:tc>
        <w:tcPr>
          <w:tcW w:w="2790" w:type="dxa"/>
        </w:tcPr>
        <w:p w:rsidR="00024F6D" w:rsidRDefault="009437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503436</wp:posOffset>
                </wp:positionH>
                <wp:positionV relativeFrom="paragraph">
                  <wp:posOffset>-2141</wp:posOffset>
                </wp:positionV>
                <wp:extent cx="881709" cy="869113"/>
                <wp:effectExtent l="0" t="0" r="0" b="0"/>
                <wp:wrapNone/>
                <wp:docPr id="1" name="image1.png" descr="A blue circle with white text and a gold leaf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blue circle with white text and a gold leaf&#10;&#10;Description automatically generated"/>
                        <pic:cNvPicPr preferRelativeResize="0"/>
                      </pic:nvPicPr>
                      <pic:blipFill>
                        <a:blip r:embed="rId1"/>
                        <a:srcRect r="720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709" cy="8691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0" w:type="dxa"/>
        </w:tcPr>
        <w:p w:rsidR="00024F6D" w:rsidRDefault="009437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250"/>
            <w:rPr>
              <w:color w:val="000000"/>
            </w:rPr>
          </w:pPr>
          <w:r>
            <w:rPr>
              <w:color w:val="000000"/>
              <w:sz w:val="36"/>
              <w:szCs w:val="36"/>
              <w:highlight w:val="white"/>
            </w:rPr>
            <w:t>UIN SUNAN KALIJAGA YOGYAKARTA</w:t>
          </w:r>
          <w:r>
            <w:rPr>
              <w:color w:val="000000"/>
              <w:sz w:val="21"/>
              <w:szCs w:val="21"/>
            </w:rPr>
            <w:br/>
          </w:r>
          <w:r>
            <w:rPr>
              <w:color w:val="000000"/>
              <w:sz w:val="28"/>
              <w:szCs w:val="28"/>
              <w:highlight w:val="white"/>
            </w:rPr>
            <w:t>FACULTY OF SCIENCE AND TECHNOLOGY</w:t>
          </w:r>
          <w:r>
            <w:rPr>
              <w:color w:val="000000"/>
              <w:sz w:val="21"/>
              <w:szCs w:val="21"/>
            </w:rPr>
            <w:br/>
          </w:r>
          <w:r>
            <w:rPr>
              <w:i/>
              <w:color w:val="000000"/>
            </w:rPr>
            <w:t xml:space="preserve">Jl. </w:t>
          </w:r>
          <w:proofErr w:type="spellStart"/>
          <w:r>
            <w:rPr>
              <w:i/>
              <w:color w:val="000000"/>
            </w:rPr>
            <w:t>Marsda</w:t>
          </w:r>
          <w:proofErr w:type="spellEnd"/>
          <w:r>
            <w:rPr>
              <w:i/>
              <w:color w:val="000000"/>
            </w:rPr>
            <w:t xml:space="preserve"> </w:t>
          </w:r>
          <w:proofErr w:type="spellStart"/>
          <w:r>
            <w:rPr>
              <w:i/>
              <w:color w:val="000000"/>
            </w:rPr>
            <w:t>Adisucipto</w:t>
          </w:r>
          <w:proofErr w:type="spellEnd"/>
          <w:r>
            <w:rPr>
              <w:i/>
              <w:color w:val="000000"/>
            </w:rPr>
            <w:t xml:space="preserve"> Yogyakarta 55281, </w:t>
          </w:r>
          <w:proofErr w:type="spellStart"/>
          <w:r>
            <w:rPr>
              <w:i/>
              <w:color w:val="000000"/>
            </w:rPr>
            <w:t>Telp</w:t>
          </w:r>
          <w:proofErr w:type="spellEnd"/>
          <w:r>
            <w:rPr>
              <w:i/>
              <w:color w:val="000000"/>
            </w:rPr>
            <w:t xml:space="preserve">:+62274519739, Fax:+62274540971, </w:t>
          </w:r>
          <w:hyperlink r:id="rId2">
            <w:r>
              <w:rPr>
                <w:i/>
                <w:color w:val="0000FF"/>
                <w:u w:val="single"/>
              </w:rPr>
              <w:t>E-mail:</w:t>
            </w:r>
          </w:hyperlink>
          <w:r>
            <w:rPr>
              <w:i/>
              <w:color w:val="000000"/>
            </w:rPr>
            <w:t xml:space="preserve"> fst@</w:t>
          </w:r>
          <w:r>
            <w:rPr>
              <w:color w:val="000000"/>
            </w:rPr>
            <w:t>uin-suka.ac.id</w:t>
          </w:r>
          <w:r>
            <w:rPr>
              <w:i/>
              <w:color w:val="000000"/>
            </w:rPr>
            <w:t xml:space="preserve">, website: </w:t>
          </w:r>
          <w:hyperlink r:id="rId3">
            <w:r>
              <w:rPr>
                <w:i/>
                <w:color w:val="0000FF"/>
                <w:u w:val="single"/>
              </w:rPr>
              <w:t>http://saintek.uin-suka.ac.id</w:t>
            </w:r>
          </w:hyperlink>
          <w:r>
            <w:rPr>
              <w:i/>
              <w:color w:val="000000"/>
            </w:rPr>
            <w:t>/</w:t>
          </w:r>
        </w:p>
      </w:tc>
    </w:tr>
  </w:tbl>
  <w:p w:rsidR="00024F6D" w:rsidRDefault="00024F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067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4F6D"/>
    <w:rsid w:val="000024DD"/>
    <w:rsid w:val="00024F6D"/>
    <w:rsid w:val="002D4B2E"/>
    <w:rsid w:val="003A14EB"/>
    <w:rsid w:val="00404BBC"/>
    <w:rsid w:val="006C5D86"/>
    <w:rsid w:val="00863255"/>
    <w:rsid w:val="009437EF"/>
    <w:rsid w:val="00A733A7"/>
    <w:rsid w:val="00A94256"/>
    <w:rsid w:val="00A94620"/>
    <w:rsid w:val="00AD7A08"/>
    <w:rsid w:val="00B72DBF"/>
    <w:rsid w:val="00CB46AC"/>
    <w:rsid w:val="00D13AF0"/>
    <w:rsid w:val="00D13D99"/>
    <w:rsid w:val="00EA153D"/>
    <w:rsid w:val="00ED45FB"/>
    <w:rsid w:val="00F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a@uin-suka.ac.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ring.uin-suka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atika.uin-suka.ac.id/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aintek.uin-suka.ac.id" TargetMode="External"/><Relationship Id="rId2" Type="http://schemas.openxmlformats.org/officeDocument/2006/relationships/hyperlink" Target="http://www.uin-suk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1DgT3RWZ7A3PwdVOrR1IxSK5w==">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THINKPAD</cp:lastModifiedBy>
  <cp:revision>11</cp:revision>
  <dcterms:created xsi:type="dcterms:W3CDTF">2023-12-12T02:39:00Z</dcterms:created>
  <dcterms:modified xsi:type="dcterms:W3CDTF">2023-12-12T07:14:00Z</dcterms:modified>
</cp:coreProperties>
</file>